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4F8D" w14:textId="77777777" w:rsidR="0091523C" w:rsidRDefault="00096412">
      <w:pPr>
        <w:spacing w:before="69"/>
        <w:ind w:left="818"/>
        <w:rPr>
          <w:b/>
        </w:rPr>
      </w:pPr>
      <w:r>
        <w:rPr>
          <w:b/>
          <w:w w:val="105"/>
        </w:rPr>
        <w:t>CERTIFICATION OF INABILITY TO OPERATE DUE TO LACK OF QUORUM</w:t>
      </w:r>
    </w:p>
    <w:p w14:paraId="4811B1BC" w14:textId="77777777" w:rsidR="0091523C" w:rsidRDefault="0091523C">
      <w:pPr>
        <w:pStyle w:val="BodyText"/>
        <w:rPr>
          <w:b/>
          <w:sz w:val="24"/>
        </w:rPr>
      </w:pPr>
    </w:p>
    <w:p w14:paraId="69DC4725" w14:textId="77777777" w:rsidR="0091523C" w:rsidRDefault="0091523C">
      <w:pPr>
        <w:pStyle w:val="BodyText"/>
        <w:spacing w:before="5"/>
        <w:rPr>
          <w:b/>
          <w:sz w:val="30"/>
        </w:rPr>
      </w:pPr>
    </w:p>
    <w:p w14:paraId="42A24C14" w14:textId="3C177C41" w:rsidR="0091523C" w:rsidRDefault="00096412">
      <w:pPr>
        <w:pStyle w:val="BodyText"/>
        <w:spacing w:line="268" w:lineRule="auto"/>
        <w:ind w:left="463" w:right="103" w:firstLine="3"/>
        <w:jc w:val="both"/>
      </w:pPr>
      <w:r>
        <w:rPr>
          <w:w w:val="105"/>
        </w:rPr>
        <w:t xml:space="preserve">In accordance with Executive Proclamation JBE 2020-30 and 2020-33, issued by Governor John Bel Edwards, this notice shall serve as certification of the </w:t>
      </w:r>
      <w:r w:rsidR="00122547">
        <w:rPr>
          <w:w w:val="105"/>
        </w:rPr>
        <w:t>LIGTT Authority</w:t>
      </w:r>
      <w:r>
        <w:rPr>
          <w:w w:val="105"/>
        </w:rPr>
        <w:t xml:space="preserve">, in </w:t>
      </w:r>
      <w:r>
        <w:rPr>
          <w:w w:val="105"/>
        </w:rPr>
        <w:t xml:space="preserve">its capacity as the governing authority of </w:t>
      </w:r>
      <w:r w:rsidR="00122547">
        <w:rPr>
          <w:w w:val="105"/>
        </w:rPr>
        <w:t>the Louisiana International Deep Water Gulf Transfer Terminal Authority</w:t>
      </w:r>
      <w:r>
        <w:rPr>
          <w:w w:val="105"/>
        </w:rPr>
        <w:t xml:space="preserve"> will be unable to operate due to lack of a physical quorum as a result of the COVID-19 pandemic and the above referenced Proclamations.</w:t>
      </w:r>
    </w:p>
    <w:p w14:paraId="674D7BD9" w14:textId="54C11CB9" w:rsidR="0091523C" w:rsidRDefault="00096412">
      <w:pPr>
        <w:pStyle w:val="BodyText"/>
        <w:spacing w:before="159" w:line="271" w:lineRule="auto"/>
        <w:ind w:left="463" w:right="114"/>
        <w:jc w:val="both"/>
      </w:pPr>
      <w:r>
        <w:rPr>
          <w:w w:val="105"/>
        </w:rPr>
        <w:t>Pursuant Section 4 of JBE 2020</w:t>
      </w:r>
      <w:r>
        <w:rPr>
          <w:w w:val="105"/>
        </w:rPr>
        <w:t xml:space="preserve">-30, </w:t>
      </w:r>
      <w:r w:rsidR="00122547">
        <w:rPr>
          <w:w w:val="105"/>
        </w:rPr>
        <w:t xml:space="preserve">the LIGTT Authority </w:t>
      </w:r>
      <w:r>
        <w:rPr>
          <w:w w:val="105"/>
        </w:rPr>
        <w:t>will have its members attend their respective</w:t>
      </w:r>
      <w:r>
        <w:rPr>
          <w:spacing w:val="1"/>
          <w:w w:val="105"/>
        </w:rPr>
        <w:t xml:space="preserve"> </w:t>
      </w:r>
      <w:r>
        <w:rPr>
          <w:w w:val="105"/>
        </w:rPr>
        <w:t>meeting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 w:rsidR="00122547">
        <w:rPr>
          <w:w w:val="105"/>
        </w:rPr>
        <w:t>2</w:t>
      </w:r>
      <w:r>
        <w:rPr>
          <w:w w:val="105"/>
        </w:rPr>
        <w:t>:00</w:t>
      </w:r>
      <w:r>
        <w:rPr>
          <w:spacing w:val="-10"/>
          <w:w w:val="105"/>
        </w:rPr>
        <w:t xml:space="preserve"> </w:t>
      </w:r>
      <w:r>
        <w:rPr>
          <w:w w:val="105"/>
        </w:rPr>
        <w:t>pm,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 w:rsidR="00122547">
        <w:rPr>
          <w:w w:val="105"/>
        </w:rPr>
        <w:t>May 12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2020,</w:t>
      </w:r>
      <w:r>
        <w:rPr>
          <w:spacing w:val="-8"/>
          <w:w w:val="105"/>
        </w:rPr>
        <w:t xml:space="preserve"> </w:t>
      </w:r>
      <w:r>
        <w:rPr>
          <w:w w:val="105"/>
        </w:rPr>
        <w:t>via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internet</w:t>
      </w:r>
      <w:r>
        <w:rPr>
          <w:spacing w:val="-3"/>
          <w:w w:val="105"/>
        </w:rPr>
        <w:t xml:space="preserve"> </w:t>
      </w:r>
      <w:r>
        <w:rPr>
          <w:w w:val="105"/>
        </w:rPr>
        <w:t>platform</w:t>
      </w:r>
      <w:r>
        <w:rPr>
          <w:spacing w:val="-3"/>
          <w:w w:val="105"/>
        </w:rPr>
        <w:t xml:space="preserve"> </w:t>
      </w:r>
      <w:r>
        <w:rPr>
          <w:w w:val="105"/>
        </w:rPr>
        <w:t>ZOOM</w:t>
      </w:r>
      <w:r w:rsidR="00122547">
        <w:rPr>
          <w:w w:val="105"/>
        </w:rPr>
        <w:t>.</w:t>
      </w:r>
      <w:r>
        <w:rPr>
          <w:w w:val="105"/>
        </w:rPr>
        <w:t xml:space="preserve"> </w:t>
      </w:r>
    </w:p>
    <w:p w14:paraId="229512D8" w14:textId="112D4A2F" w:rsidR="0091523C" w:rsidRDefault="00096412">
      <w:pPr>
        <w:pStyle w:val="BodyText"/>
        <w:spacing w:before="157" w:line="271" w:lineRule="auto"/>
        <w:ind w:left="464" w:right="110" w:firstLine="1"/>
        <w:jc w:val="both"/>
      </w:pPr>
      <w:r>
        <w:rPr>
          <w:w w:val="105"/>
        </w:rPr>
        <w:t>In accordance with guidance on the Open Meetings Law by the Office of the Louisiana Attorney General, members of the public will be allowed to v</w:t>
      </w:r>
      <w:r>
        <w:rPr>
          <w:w w:val="105"/>
        </w:rPr>
        <w:t>iew the conduct of the meeting through the ZOOM platform</w:t>
      </w:r>
      <w:r w:rsidR="00122547">
        <w:rPr>
          <w:w w:val="105"/>
        </w:rPr>
        <w:t xml:space="preserve"> and </w:t>
      </w:r>
      <w:r>
        <w:rPr>
          <w:w w:val="105"/>
        </w:rPr>
        <w:t>will be allowed to make public comment on the pertinent</w:t>
      </w:r>
      <w:r>
        <w:rPr>
          <w:spacing w:val="-6"/>
          <w:w w:val="105"/>
        </w:rPr>
        <w:t xml:space="preserve"> </w:t>
      </w:r>
      <w:r>
        <w:rPr>
          <w:w w:val="105"/>
        </w:rPr>
        <w:t>agenda</w:t>
      </w:r>
      <w:r>
        <w:rPr>
          <w:spacing w:val="3"/>
          <w:w w:val="105"/>
        </w:rPr>
        <w:t xml:space="preserve"> </w:t>
      </w:r>
      <w:r>
        <w:rPr>
          <w:w w:val="105"/>
        </w:rPr>
        <w:t>items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set</w:t>
      </w:r>
      <w:r>
        <w:rPr>
          <w:spacing w:val="-18"/>
          <w:w w:val="105"/>
        </w:rPr>
        <w:t xml:space="preserve"> </w:t>
      </w:r>
      <w:r>
        <w:rPr>
          <w:w w:val="105"/>
        </w:rPr>
        <w:t>forth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notice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meeting that will be posted </w:t>
      </w:r>
      <w:r>
        <w:rPr>
          <w:w w:val="105"/>
        </w:rPr>
        <w:t xml:space="preserve">on the </w:t>
      </w:r>
      <w:r w:rsidR="00C553E1">
        <w:rPr>
          <w:w w:val="105"/>
        </w:rPr>
        <w:t>Boards and Commissions</w:t>
      </w:r>
      <w:r>
        <w:rPr>
          <w:w w:val="105"/>
        </w:rPr>
        <w:t xml:space="preserve"> </w:t>
      </w:r>
      <w:r w:rsidR="00C553E1">
        <w:rPr>
          <w:w w:val="105"/>
        </w:rPr>
        <w:t xml:space="preserve">and LIGTT.com </w:t>
      </w:r>
      <w:r>
        <w:rPr>
          <w:w w:val="105"/>
        </w:rPr>
        <w:t>website</w:t>
      </w:r>
      <w:r w:rsidR="00C553E1">
        <w:rPr>
          <w:w w:val="105"/>
        </w:rPr>
        <w:t>s.</w:t>
      </w:r>
      <w:r>
        <w:rPr>
          <w:w w:val="105"/>
        </w:rPr>
        <w:t xml:space="preserve"> </w:t>
      </w:r>
    </w:p>
    <w:sectPr w:rsidR="0091523C" w:rsidSect="00122547">
      <w:type w:val="continuous"/>
      <w:pgSz w:w="12240" w:h="15840" w:code="1"/>
      <w:pgMar w:top="1460" w:right="166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4ADB"/>
    <w:multiLevelType w:val="hybridMultilevel"/>
    <w:tmpl w:val="EF38F486"/>
    <w:lvl w:ilvl="0" w:tplc="50C60AEC">
      <w:start w:val="8"/>
      <w:numFmt w:val="decimal"/>
      <w:lvlText w:val="%1."/>
      <w:lvlJc w:val="left"/>
      <w:pPr>
        <w:ind w:left="466" w:hanging="345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540E1926">
      <w:start w:val="1"/>
      <w:numFmt w:val="lowerLetter"/>
      <w:lvlText w:val="%2."/>
      <w:lvlJc w:val="left"/>
      <w:pPr>
        <w:ind w:left="809" w:hanging="351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2"/>
        <w:szCs w:val="22"/>
      </w:rPr>
    </w:lvl>
    <w:lvl w:ilvl="2" w:tplc="245AD52C">
      <w:start w:val="1"/>
      <w:numFmt w:val="decimal"/>
      <w:lvlText w:val="%3)"/>
      <w:lvlJc w:val="left"/>
      <w:pPr>
        <w:ind w:left="1154" w:hanging="346"/>
        <w:jc w:val="left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3" w:tplc="848C8D36">
      <w:numFmt w:val="bullet"/>
      <w:lvlText w:val="•"/>
      <w:lvlJc w:val="left"/>
      <w:pPr>
        <w:ind w:left="2215" w:hanging="346"/>
      </w:pPr>
      <w:rPr>
        <w:rFonts w:hint="default"/>
      </w:rPr>
    </w:lvl>
    <w:lvl w:ilvl="4" w:tplc="BEB6C8EC">
      <w:numFmt w:val="bullet"/>
      <w:lvlText w:val="•"/>
      <w:lvlJc w:val="left"/>
      <w:pPr>
        <w:ind w:left="3270" w:hanging="346"/>
      </w:pPr>
      <w:rPr>
        <w:rFonts w:hint="default"/>
      </w:rPr>
    </w:lvl>
    <w:lvl w:ilvl="5" w:tplc="BD6449F6">
      <w:numFmt w:val="bullet"/>
      <w:lvlText w:val="•"/>
      <w:lvlJc w:val="left"/>
      <w:pPr>
        <w:ind w:left="4325" w:hanging="346"/>
      </w:pPr>
      <w:rPr>
        <w:rFonts w:hint="default"/>
      </w:rPr>
    </w:lvl>
    <w:lvl w:ilvl="6" w:tplc="C44633EA">
      <w:numFmt w:val="bullet"/>
      <w:lvlText w:val="•"/>
      <w:lvlJc w:val="left"/>
      <w:pPr>
        <w:ind w:left="5380" w:hanging="346"/>
      </w:pPr>
      <w:rPr>
        <w:rFonts w:hint="default"/>
      </w:rPr>
    </w:lvl>
    <w:lvl w:ilvl="7" w:tplc="FD32E9C6">
      <w:numFmt w:val="bullet"/>
      <w:lvlText w:val="•"/>
      <w:lvlJc w:val="left"/>
      <w:pPr>
        <w:ind w:left="6435" w:hanging="346"/>
      </w:pPr>
      <w:rPr>
        <w:rFonts w:hint="default"/>
      </w:rPr>
    </w:lvl>
    <w:lvl w:ilvl="8" w:tplc="F5B84C70">
      <w:numFmt w:val="bullet"/>
      <w:lvlText w:val="•"/>
      <w:lvlJc w:val="left"/>
      <w:pPr>
        <w:ind w:left="7490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C"/>
    <w:rsid w:val="00096412"/>
    <w:rsid w:val="00122547"/>
    <w:rsid w:val="0091523C"/>
    <w:rsid w:val="00C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05F6"/>
  <w15:docId w15:val="{47899C9C-DEFC-4478-BB30-88D21EE9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54" w:right="110" w:hanging="34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LIGTT Authority</dc:creator>
  <cp:lastModifiedBy>LIGTT Authority</cp:lastModifiedBy>
  <cp:revision>2</cp:revision>
  <dcterms:created xsi:type="dcterms:W3CDTF">2020-05-11T17:25:00Z</dcterms:created>
  <dcterms:modified xsi:type="dcterms:W3CDTF">2020-05-11T17:25:00Z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2020-05-11T00:00:00Z</vt:filetime>
  </property>
</Properties>
</file>